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ilvl w:val="0"/>
          <w:numId w:val="0"/>
        </w:numPr>
        <w:ind w:leftChars="0"/>
        <w:rPr>
          <w:rFonts w:hint="default" w:eastAsia="宋体"/>
          <w:color w:val="auto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Cs w:val="21"/>
          <w:lang w:eastAsia="zh-CN"/>
        </w:rPr>
        <w:t>《</w:t>
      </w:r>
      <w:r>
        <w:rPr>
          <w:rFonts w:hint="eastAsia" w:ascii="黑体" w:hAnsi="黑体" w:eastAsia="黑体" w:cs="黑体"/>
          <w:b/>
          <w:bCs/>
          <w:color w:val="auto"/>
          <w:szCs w:val="21"/>
          <w:lang w:val="en-US" w:eastAsia="zh-CN"/>
        </w:rPr>
        <w:t>东北农业大学学报</w:t>
      </w:r>
      <w:r>
        <w:rPr>
          <w:rFonts w:hint="eastAsia" w:ascii="黑体" w:hAnsi="黑体" w:eastAsia="黑体" w:cs="黑体"/>
          <w:b/>
          <w:bCs/>
          <w:color w:val="auto"/>
          <w:szCs w:val="21"/>
          <w:lang w:eastAsia="zh-CN"/>
        </w:rPr>
        <w:t>》（</w:t>
      </w:r>
      <w:r>
        <w:rPr>
          <w:rFonts w:hint="eastAsia" w:ascii="黑体" w:hAnsi="黑体" w:eastAsia="黑体" w:cs="黑体"/>
          <w:b/>
          <w:bCs/>
          <w:color w:val="auto"/>
          <w:szCs w:val="21"/>
          <w:lang w:val="en-US" w:eastAsia="zh-CN"/>
        </w:rPr>
        <w:t>英文版</w:t>
      </w:r>
      <w:r>
        <w:rPr>
          <w:rFonts w:hint="eastAsia" w:ascii="黑体" w:hAnsi="黑体" w:eastAsia="黑体" w:cs="黑体"/>
          <w:b/>
          <w:bCs/>
          <w:color w:val="auto"/>
          <w:szCs w:val="21"/>
          <w:lang w:eastAsia="zh-CN"/>
        </w:rPr>
        <w:t>）</w:t>
      </w:r>
      <w:r>
        <w:rPr>
          <w:rFonts w:hint="eastAsia" w:ascii="黑体" w:hAnsi="黑体" w:eastAsia="黑体" w:cs="黑体"/>
          <w:b/>
          <w:bCs/>
          <w:color w:val="auto"/>
          <w:szCs w:val="21"/>
          <w:lang w:val="en-US" w:eastAsia="zh-CN"/>
        </w:rPr>
        <w:t>参考文献写作要求：</w:t>
      </w:r>
      <w:r>
        <w:rPr>
          <w:rFonts w:hint="eastAsia"/>
          <w:color w:val="auto"/>
          <w:lang w:val="en-US" w:eastAsia="zh-CN"/>
        </w:rPr>
        <w:t>英文版参考文献按照字母出现顺序a-z排序，如果第一作者姓名首字母相同，那么第二个作者姓名按照a-z顺序编码排序，文后参考文献人名与文内参考文献人名要一一对应！！</w:t>
      </w:r>
      <w:r>
        <w:rPr>
          <w:rFonts w:hint="eastAsia" w:eastAsia="宋体"/>
          <w:color w:val="auto"/>
          <w:lang w:val="en-US" w:eastAsia="zh-CN"/>
        </w:rPr>
        <w:t>年份要在姓名后边，如果有网络出版的要加上网址。出处是期刊的题目正体，期刊名斜体。出处是图书的，题目斜体，出版地出版社正体，卷用粗体。</w:t>
      </w:r>
    </w:p>
    <w:p>
      <w:pPr>
        <w:rPr>
          <w:rFonts w:hint="eastAsia"/>
          <w:b/>
        </w:rPr>
      </w:pPr>
      <w:bookmarkStart w:id="0" w:name="_GoBack"/>
      <w:bookmarkEnd w:id="0"/>
    </w:p>
    <w:p>
      <w:pPr>
        <w:rPr>
          <w:rFonts w:hint="eastAsia"/>
          <w:b/>
        </w:rPr>
      </w:pPr>
      <w:r>
        <w:rPr>
          <w:rFonts w:hint="eastAsia"/>
          <w:b/>
        </w:rPr>
        <w:t>（1）期刊</w:t>
      </w:r>
    </w:p>
    <w:p>
      <w:pPr>
        <w:rPr>
          <w:rFonts w:hint="eastAsia"/>
        </w:rPr>
      </w:pPr>
      <w:r>
        <w:rPr>
          <w:rFonts w:hint="eastAsia"/>
        </w:rPr>
        <w:t xml:space="preserve">Lei C L, Ling Z Z, Wang J L, </w:t>
      </w:r>
      <w:r>
        <w:rPr>
          <w:rFonts w:hint="eastAsia"/>
          <w:i/>
        </w:rPr>
        <w:t>et al</w:t>
      </w:r>
      <w:r>
        <w:rPr>
          <w:rFonts w:hint="eastAsia"/>
        </w:rPr>
        <w:t xml:space="preserve">. </w:t>
      </w:r>
      <w:r>
        <w:t>2000</w:t>
      </w:r>
      <w:r>
        <w:rPr>
          <w:rFonts w:hint="eastAsia"/>
        </w:rPr>
        <w:t>. Variation of physiological races of</w:t>
      </w:r>
      <w:r>
        <w:rPr>
          <w:rFonts w:hint="eastAsia"/>
          <w:i/>
        </w:rPr>
        <w:t xml:space="preserve"> Magnaporthe grisea </w:t>
      </w:r>
      <w:r>
        <w:rPr>
          <w:rFonts w:hint="eastAsia"/>
        </w:rPr>
        <w:t xml:space="preserve">and strategies of disease-resisted breeding in north rice areas. </w:t>
      </w:r>
      <w:r>
        <w:rPr>
          <w:rFonts w:hint="eastAsia"/>
          <w:i/>
        </w:rPr>
        <w:t>Crops</w:t>
      </w:r>
      <w:r>
        <w:rPr>
          <w:rFonts w:hint="eastAsia"/>
          <w:color w:val="000000"/>
        </w:rPr>
        <w:t xml:space="preserve">, </w:t>
      </w:r>
      <w:r>
        <w:rPr>
          <w:rFonts w:hint="eastAsia"/>
          <w:b/>
          <w:color w:val="000000"/>
        </w:rPr>
        <w:t>12</w:t>
      </w:r>
      <w:r>
        <w:rPr>
          <w:rFonts w:hint="eastAsia"/>
          <w:color w:val="000000"/>
        </w:rPr>
        <w:t>（</w:t>
      </w:r>
      <w:r>
        <w:rPr>
          <w:color w:val="000000"/>
        </w:rPr>
        <w:t>3）</w:t>
      </w:r>
      <w:r>
        <w:t>：14-16.</w:t>
      </w:r>
    </w:p>
    <w:p>
      <w:pPr>
        <w:rPr>
          <w:rFonts w:hint="eastAsia"/>
          <w:b/>
          <w:szCs w:val="21"/>
        </w:rPr>
      </w:pPr>
      <w:r>
        <w:rPr>
          <w:rFonts w:hint="eastAsia"/>
          <w:b/>
          <w:szCs w:val="21"/>
        </w:rPr>
        <w:t>（2）学位论文</w:t>
      </w:r>
    </w:p>
    <w:p>
      <w:pPr>
        <w:rPr>
          <w:rFonts w:hint="eastAsia"/>
        </w:rPr>
      </w:pPr>
      <w:r>
        <w:rPr>
          <w:rFonts w:hint="eastAsia"/>
          <w:szCs w:val="21"/>
        </w:rPr>
        <w:t xml:space="preserve">Pan G J. </w:t>
      </w:r>
      <w:r>
        <w:rPr>
          <w:szCs w:val="21"/>
        </w:rPr>
        <w:t>2005.</w:t>
      </w:r>
      <w:r>
        <w:rPr>
          <w:rFonts w:hint="eastAsia"/>
          <w:szCs w:val="21"/>
        </w:rPr>
        <w:t xml:space="preserve"> </w:t>
      </w:r>
      <w:r>
        <w:rPr>
          <w:rFonts w:hint="eastAsia"/>
          <w:i/>
          <w:szCs w:val="21"/>
        </w:rPr>
        <w:t>The epidemic factor analysis and cultivation regulation of rice blast in early Japonica in Heilongjiang Province</w:t>
      </w:r>
      <w:r>
        <w:rPr>
          <w:rFonts w:hint="eastAsia"/>
          <w:szCs w:val="21"/>
        </w:rPr>
        <w:t xml:space="preserve">. </w:t>
      </w:r>
      <w:r>
        <w:t>Shenyang Agricultural University</w:t>
      </w:r>
      <w:r>
        <w:rPr>
          <w:rFonts w:hint="eastAsia"/>
        </w:rPr>
        <w:t>, Shenyang.</w:t>
      </w:r>
    </w:p>
    <w:p>
      <w:pPr>
        <w:rPr>
          <w:rFonts w:hint="eastAsia"/>
          <w:b/>
        </w:rPr>
      </w:pPr>
      <w:r>
        <w:rPr>
          <w:rFonts w:hint="eastAsia"/>
          <w:b/>
          <w:szCs w:val="21"/>
        </w:rPr>
        <w:t>（3）</w:t>
      </w:r>
      <w:r>
        <w:rPr>
          <w:rFonts w:hint="eastAsia"/>
          <w:b/>
        </w:rPr>
        <w:t>会议论文</w:t>
      </w:r>
    </w:p>
    <w:p>
      <w:pPr>
        <w:rPr>
          <w:rFonts w:hint="eastAsia"/>
        </w:rPr>
      </w:pPr>
      <w:r>
        <w:rPr>
          <w:rFonts w:hint="eastAsia"/>
          <w:color w:val="000000"/>
          <w:kern w:val="0"/>
          <w:sz w:val="24"/>
          <w:lang w:val="en-GB"/>
        </w:rPr>
        <w:t xml:space="preserve">Yufin S A. 2000. Geoecology and computers. In: </w:t>
      </w:r>
      <w:r>
        <w:rPr>
          <w:rFonts w:hint="eastAsia"/>
          <w:i/>
          <w:color w:val="000000"/>
          <w:kern w:val="0"/>
          <w:sz w:val="24"/>
          <w:lang w:val="en-GB"/>
        </w:rPr>
        <w:t>Proceedings of the third international conference on advances of computer methods in geotechnical engineering</w:t>
      </w:r>
      <w:r>
        <w:rPr>
          <w:rFonts w:hint="eastAsia"/>
          <w:color w:val="000000"/>
          <w:kern w:val="0"/>
          <w:sz w:val="24"/>
          <w:lang w:val="en-GB"/>
        </w:rPr>
        <w:t xml:space="preserve">. A. A. Balkema, Rotterdam. </w:t>
      </w:r>
      <w:r>
        <w:rPr>
          <w:sz w:val="24"/>
        </w:rPr>
        <w:t>p</w:t>
      </w:r>
      <w:r>
        <w:rPr>
          <w:rFonts w:hint="eastAsia"/>
          <w:sz w:val="24"/>
        </w:rPr>
        <w:t>p. 151-158.</w:t>
      </w:r>
    </w:p>
    <w:p>
      <w:pPr>
        <w:rPr>
          <w:rFonts w:hint="eastAsia" w:ascii="Arial" w:hAnsi="Arial" w:cs="Arial"/>
          <w:b/>
          <w:color w:val="000000"/>
          <w:szCs w:val="21"/>
        </w:rPr>
      </w:pPr>
      <w:r>
        <w:rPr>
          <w:rFonts w:hint="eastAsia"/>
          <w:b/>
          <w:szCs w:val="21"/>
        </w:rPr>
        <w:t>（4）</w:t>
      </w:r>
      <w:r>
        <w:rPr>
          <w:rFonts w:hint="eastAsia" w:ascii="Arial" w:hAnsi="Arial" w:cs="Arial"/>
          <w:b/>
          <w:color w:val="000000"/>
          <w:szCs w:val="21"/>
        </w:rPr>
        <w:t>专著</w:t>
      </w:r>
    </w:p>
    <w:p>
      <w:pPr>
        <w:rPr>
          <w:rFonts w:hint="eastAsia" w:ascii="Arial" w:hAnsi="Arial" w:cs="Arial"/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Ives J D. 1989. </w:t>
      </w:r>
      <w:r>
        <w:rPr>
          <w:rFonts w:hint="eastAsia"/>
          <w:i/>
          <w:color w:val="000000"/>
          <w:szCs w:val="21"/>
        </w:rPr>
        <w:t xml:space="preserve">The </w:t>
      </w:r>
      <w:r>
        <w:rPr>
          <w:i/>
          <w:color w:val="000000"/>
          <w:szCs w:val="21"/>
        </w:rPr>
        <w:t>Himalayan</w:t>
      </w:r>
      <w:r>
        <w:rPr>
          <w:rFonts w:hint="eastAsia"/>
          <w:i/>
          <w:color w:val="000000"/>
          <w:szCs w:val="21"/>
        </w:rPr>
        <w:t xml:space="preserve"> dilemma: reconciling development and conservation. </w:t>
      </w:r>
      <w:r>
        <w:rPr>
          <w:rFonts w:hint="eastAsia"/>
          <w:color w:val="000000"/>
          <w:szCs w:val="21"/>
        </w:rPr>
        <w:t xml:space="preserve">Routledge, </w:t>
      </w:r>
      <w:r>
        <w:rPr>
          <w:color w:val="000000"/>
          <w:szCs w:val="21"/>
        </w:rPr>
        <w:t>London</w:t>
      </w:r>
      <w:r>
        <w:rPr>
          <w:rFonts w:hint="eastAsia"/>
          <w:color w:val="000000"/>
          <w:szCs w:val="21"/>
        </w:rPr>
        <w:t xml:space="preserve">. </w:t>
      </w:r>
      <w:r>
        <w:t>p</w:t>
      </w:r>
      <w:r>
        <w:rPr>
          <w:rFonts w:hint="eastAsia"/>
        </w:rPr>
        <w:t>p. 14-17.</w:t>
      </w:r>
    </w:p>
    <w:p>
      <w:pPr>
        <w:rPr>
          <w:rFonts w:hint="eastAsia" w:ascii="Arial" w:hAnsi="Arial" w:cs="Arial"/>
          <w:b/>
          <w:color w:val="000000"/>
          <w:szCs w:val="21"/>
        </w:rPr>
      </w:pPr>
      <w:r>
        <w:rPr>
          <w:rFonts w:hint="eastAsia"/>
          <w:b/>
          <w:szCs w:val="21"/>
        </w:rPr>
        <w:t>（5）</w:t>
      </w:r>
      <w:r>
        <w:rPr>
          <w:rFonts w:hint="eastAsia" w:ascii="Arial" w:hAnsi="Arial" w:cs="Arial"/>
          <w:b/>
          <w:color w:val="000000"/>
          <w:szCs w:val="21"/>
        </w:rPr>
        <w:t>析出文献：</w:t>
      </w:r>
    </w:p>
    <w:p>
      <w:pPr>
        <w:rPr>
          <w:rFonts w:hint="eastAsia"/>
        </w:rPr>
      </w:pPr>
      <w:r>
        <w:rPr>
          <w:rFonts w:hint="eastAsia"/>
        </w:rPr>
        <w:t xml:space="preserve">Vangronsveld J, Clijsters H. 1994. Toxic effecits of metals. In: Farago M E. </w:t>
      </w:r>
      <w:r>
        <w:rPr>
          <w:rFonts w:hint="eastAsia"/>
          <w:i/>
        </w:rPr>
        <w:t>Plants and the chemical elements</w:t>
      </w:r>
      <w:r>
        <w:rPr>
          <w:i/>
        </w:rPr>
        <w:t>—</w:t>
      </w:r>
      <w:r>
        <w:rPr>
          <w:rFonts w:hint="eastAsia"/>
          <w:i/>
        </w:rPr>
        <w:t>biochemistry, uptake, tolerance and toxicity</w:t>
      </w:r>
      <w:r>
        <w:rPr>
          <w:rFonts w:hint="eastAsia"/>
        </w:rPr>
        <w:t xml:space="preserve">. VCH, Weinheim. </w:t>
      </w:r>
      <w:r>
        <w:t>p</w:t>
      </w:r>
      <w:r>
        <w:rPr>
          <w:rFonts w:hint="eastAsia"/>
        </w:rPr>
        <w:t xml:space="preserve">p. 149-177. </w:t>
      </w:r>
    </w:p>
    <w:p>
      <w:pPr>
        <w:rPr>
          <w:rFonts w:hint="eastAsia"/>
          <w:b/>
        </w:rPr>
      </w:pPr>
      <w:r>
        <w:rPr>
          <w:rFonts w:hint="eastAsia"/>
          <w:b/>
          <w:szCs w:val="21"/>
        </w:rPr>
        <w:t>（6）</w:t>
      </w:r>
      <w:r>
        <w:rPr>
          <w:rFonts w:hint="eastAsia"/>
          <w:b/>
        </w:rPr>
        <w:t>电子文献</w:t>
      </w:r>
    </w:p>
    <w:p>
      <w:pPr>
        <w:rPr>
          <w:rFonts w:hint="eastAsia"/>
          <w:i/>
        </w:rPr>
      </w:pPr>
      <w:r>
        <w:rPr>
          <w:rFonts w:hint="eastAsia"/>
        </w:rPr>
        <w:t xml:space="preserve">Ambion, Inc. 2004. Cancer-related miRNA uncovered by the </w:t>
      </w:r>
      <w:r>
        <w:rPr>
          <w:rFonts w:hint="eastAsia"/>
          <w:i/>
        </w:rPr>
        <w:t>mir</w:t>
      </w:r>
      <w:r>
        <w:rPr>
          <w:rFonts w:hint="eastAsia"/>
        </w:rPr>
        <w:t>Vana</w:t>
      </w:r>
      <w:r>
        <w:rPr>
          <w:rFonts w:hint="eastAsia"/>
          <w:vertAlign w:val="superscript"/>
        </w:rPr>
        <w:t>TM</w:t>
      </w:r>
      <w:r>
        <w:rPr>
          <w:rFonts w:hint="eastAsia"/>
        </w:rPr>
        <w:t xml:space="preserve"> miRNA microarray. </w:t>
      </w:r>
      <w:r>
        <w:rPr>
          <w:rFonts w:hint="eastAsia"/>
          <w:i/>
        </w:rPr>
        <w:fldChar w:fldCharType="begin"/>
      </w:r>
      <w:r>
        <w:rPr>
          <w:rFonts w:hint="eastAsia"/>
          <w:i/>
        </w:rPr>
        <w:instrText xml:space="preserve"> HYPERLINK "http://www.ambion.com/techlib/tn/121/4.html." </w:instrText>
      </w:r>
      <w:r>
        <w:rPr>
          <w:rFonts w:hint="eastAsia"/>
          <w:i/>
        </w:rPr>
        <w:fldChar w:fldCharType="separate"/>
      </w:r>
      <w:r>
        <w:rPr>
          <w:rStyle w:val="4"/>
          <w:rFonts w:hint="eastAsia"/>
          <w:i/>
        </w:rPr>
        <w:t>http://www.ambion.com/techlib/tn/121/4.html.</w:t>
      </w:r>
      <w:r>
        <w:rPr>
          <w:rFonts w:hint="eastAsia"/>
          <w:i/>
        </w:rPr>
        <w:fldChar w:fldCharType="end"/>
      </w:r>
    </w:p>
    <w:p>
      <w:pPr>
        <w:rPr>
          <w:rFonts w:hint="eastAsia"/>
          <w:b/>
          <w:szCs w:val="21"/>
          <w:lang w:val="en-US" w:eastAsia="zh-CN"/>
        </w:rPr>
      </w:pPr>
      <w:r>
        <w:rPr>
          <w:rFonts w:hint="eastAsia"/>
          <w:b/>
          <w:szCs w:val="21"/>
          <w:lang w:val="en-US" w:eastAsia="zh-CN"/>
        </w:rPr>
        <w:t>（7）网络出版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Schneider E, Rissiek A, Winzer R, et al. 2019. Generation and function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of non-cell-bound CD73 in inflammation. Front Immunol, 10: 1729.</w:t>
      </w:r>
      <w:r>
        <w:rPr>
          <w:rFonts w:hint="eastAsia"/>
          <w:i/>
          <w:iCs/>
        </w:rPr>
        <w:t xml:space="preserve">doi: 10.3389/fimmu.2019.01729.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C9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uiPriority w:val="99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2023-04-26T06:55:37Z</dcterms:created>
  <dc:creator>dell</dc:creator>
  <cp:lastModifiedBy>dell</cp:lastModifiedBy>
  <dcterms:modified xsi:type="dcterms:W3CDTF">2023-04-26T06:56:30Z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